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C6" w:rsidRPr="00CC12C6" w:rsidRDefault="00CC12C6" w:rsidP="00CC12C6">
      <w:pPr>
        <w:spacing w:before="150" w:after="150" w:line="240" w:lineRule="atLeast"/>
        <w:jc w:val="center"/>
        <w:rPr>
          <w:rFonts w:eastAsia="Times New Roman"/>
          <w:b w:val="0"/>
          <w:color w:val="000000"/>
        </w:rPr>
      </w:pPr>
      <w:r w:rsidRPr="00CC12C6">
        <w:rPr>
          <w:rFonts w:eastAsia="Times New Roman"/>
          <w:b w:val="0"/>
          <w:color w:val="003399"/>
        </w:rPr>
        <w:t>Publications &amp; Acknowledgements</w:t>
      </w:r>
    </w:p>
    <w:p w:rsidR="00CC12C6" w:rsidRDefault="00CC12C6" w:rsidP="00CC12C6">
      <w:pPr>
        <w:spacing w:before="150" w:after="150" w:line="240" w:lineRule="atLeast"/>
        <w:rPr>
          <w:rFonts w:eastAsia="Times New Roman"/>
          <w:b w:val="0"/>
          <w:color w:val="000000"/>
          <w:sz w:val="24"/>
          <w:szCs w:val="24"/>
        </w:rPr>
      </w:pPr>
    </w:p>
    <w:p w:rsidR="00CC12C6" w:rsidRDefault="00CC12C6" w:rsidP="00CC12C6">
      <w:pPr>
        <w:spacing w:before="150" w:after="150" w:line="240" w:lineRule="atLeast"/>
        <w:rPr>
          <w:rFonts w:eastAsia="Times New Roman"/>
          <w:b w:val="0"/>
          <w:color w:val="000000"/>
          <w:sz w:val="24"/>
          <w:szCs w:val="24"/>
        </w:rPr>
      </w:pPr>
      <w:r w:rsidRPr="00CC12C6">
        <w:rPr>
          <w:rFonts w:eastAsia="Times New Roman"/>
          <w:b w:val="0"/>
          <w:color w:val="000000"/>
          <w:sz w:val="24"/>
          <w:szCs w:val="24"/>
        </w:rPr>
        <w:t>Our services have greatly benefitted the local research community leading to numerous publications. The most recent are listed below with names of PETC staff members in bold.</w:t>
      </w:r>
    </w:p>
    <w:p w:rsidR="00CC12C6" w:rsidRPr="00CC12C6" w:rsidRDefault="00CC12C6" w:rsidP="00CC12C6">
      <w:pPr>
        <w:spacing w:before="150" w:after="150" w:line="240" w:lineRule="atLeast"/>
        <w:rPr>
          <w:rFonts w:eastAsia="Times New Roman"/>
          <w:b w:val="0"/>
          <w:color w:val="000000"/>
          <w:sz w:val="24"/>
          <w:szCs w:val="24"/>
        </w:rPr>
      </w:pP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r w:rsidRPr="00CC12C6">
        <w:rPr>
          <w:rFonts w:eastAsia="Times New Roman"/>
          <w:bCs/>
          <w:color w:val="000000"/>
          <w:sz w:val="24"/>
          <w:szCs w:val="24"/>
        </w:rPr>
        <w:t>Authors on:</w:t>
      </w: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 w:val="0"/>
          <w:color w:val="333333"/>
          <w:sz w:val="24"/>
          <w:szCs w:val="24"/>
        </w:rPr>
        <w:t>Bobik</w:t>
      </w:r>
      <w:proofErr w:type="spellEnd"/>
      <w:r w:rsidRPr="00CC12C6">
        <w:rPr>
          <w:rFonts w:eastAsia="Times New Roman"/>
          <w:b w:val="0"/>
          <w:color w:val="333333"/>
          <w:sz w:val="24"/>
          <w:szCs w:val="24"/>
        </w:rPr>
        <w:t xml:space="preserve"> TA, Morales EJ, </w:t>
      </w:r>
      <w:r w:rsidRPr="00CC12C6">
        <w:rPr>
          <w:rFonts w:eastAsia="Times New Roman"/>
          <w:bCs/>
          <w:color w:val="333333"/>
          <w:sz w:val="24"/>
          <w:szCs w:val="24"/>
        </w:rPr>
        <w:t>Shin A</w:t>
      </w:r>
      <w:r w:rsidRPr="00CC12C6">
        <w:rPr>
          <w:rFonts w:eastAsia="Times New Roman"/>
          <w:b w:val="0"/>
          <w:color w:val="333333"/>
          <w:sz w:val="24"/>
          <w:szCs w:val="24"/>
        </w:rPr>
        <w:t xml:space="preserve">, </w:t>
      </w:r>
      <w:proofErr w:type="spellStart"/>
      <w:r w:rsidRPr="00CC12C6">
        <w:rPr>
          <w:rFonts w:eastAsia="Times New Roman"/>
          <w:b w:val="0"/>
          <w:color w:val="333333"/>
          <w:sz w:val="24"/>
          <w:szCs w:val="24"/>
        </w:rPr>
        <w:t>Cascio</w:t>
      </w:r>
      <w:proofErr w:type="spellEnd"/>
      <w:r w:rsidRPr="00CC12C6">
        <w:rPr>
          <w:rFonts w:eastAsia="Times New Roman"/>
          <w:b w:val="0"/>
          <w:color w:val="333333"/>
          <w:sz w:val="24"/>
          <w:szCs w:val="24"/>
        </w:rPr>
        <w:t xml:space="preserve"> D, </w:t>
      </w:r>
      <w:proofErr w:type="spellStart"/>
      <w:r w:rsidRPr="00CC12C6">
        <w:rPr>
          <w:rFonts w:eastAsia="Times New Roman"/>
          <w:b w:val="0"/>
          <w:color w:val="333333"/>
          <w:sz w:val="24"/>
          <w:szCs w:val="24"/>
        </w:rPr>
        <w:t>Sawaya</w:t>
      </w:r>
      <w:proofErr w:type="spellEnd"/>
      <w:r w:rsidRPr="00CC12C6">
        <w:rPr>
          <w:rFonts w:eastAsia="Times New Roman"/>
          <w:b w:val="0"/>
          <w:color w:val="333333"/>
          <w:sz w:val="24"/>
          <w:szCs w:val="24"/>
        </w:rPr>
        <w:t xml:space="preserve"> MR, </w:t>
      </w:r>
      <w:proofErr w:type="spellStart"/>
      <w:r w:rsidRPr="00CC12C6">
        <w:rPr>
          <w:rFonts w:eastAsia="Times New Roman"/>
          <w:bCs/>
          <w:color w:val="333333"/>
          <w:sz w:val="24"/>
          <w:szCs w:val="24"/>
        </w:rPr>
        <w:t>Arbing</w:t>
      </w:r>
      <w:proofErr w:type="spellEnd"/>
      <w:r w:rsidRPr="00CC12C6">
        <w:rPr>
          <w:rFonts w:eastAsia="Times New Roman"/>
          <w:bCs/>
          <w:color w:val="333333"/>
          <w:sz w:val="24"/>
          <w:szCs w:val="24"/>
        </w:rPr>
        <w:t xml:space="preserve"> M</w:t>
      </w:r>
      <w:r w:rsidRPr="00CC12C6">
        <w:rPr>
          <w:rFonts w:eastAsia="Times New Roman"/>
          <w:b w:val="0"/>
          <w:color w:val="333333"/>
          <w:sz w:val="24"/>
          <w:szCs w:val="24"/>
        </w:rPr>
        <w:t>, </w:t>
      </w:r>
      <w:proofErr w:type="spellStart"/>
      <w:r w:rsidRPr="00CC12C6">
        <w:rPr>
          <w:rFonts w:eastAsia="Times New Roman"/>
          <w:b w:val="0"/>
          <w:color w:val="333333"/>
          <w:sz w:val="24"/>
          <w:szCs w:val="24"/>
        </w:rPr>
        <w:t>Yeates</w:t>
      </w:r>
      <w:proofErr w:type="spellEnd"/>
      <w:r w:rsidRPr="00CC12C6">
        <w:rPr>
          <w:rFonts w:eastAsia="Times New Roman"/>
          <w:b w:val="0"/>
          <w:color w:val="333333"/>
          <w:sz w:val="24"/>
          <w:szCs w:val="24"/>
        </w:rPr>
        <w:t xml:space="preserve"> TO, </w:t>
      </w:r>
      <w:proofErr w:type="spellStart"/>
      <w:r w:rsidRPr="00CC12C6">
        <w:rPr>
          <w:rFonts w:eastAsia="Times New Roman"/>
          <w:b w:val="0"/>
          <w:color w:val="333333"/>
          <w:sz w:val="24"/>
          <w:szCs w:val="24"/>
        </w:rPr>
        <w:t>Rasche</w:t>
      </w:r>
      <w:proofErr w:type="spellEnd"/>
      <w:r w:rsidRPr="00CC12C6">
        <w:rPr>
          <w:rFonts w:eastAsia="Times New Roman"/>
          <w:b w:val="0"/>
          <w:color w:val="333333"/>
          <w:sz w:val="24"/>
          <w:szCs w:val="24"/>
        </w:rPr>
        <w:t xml:space="preserve">, M. 2014. </w:t>
      </w:r>
      <w:proofErr w:type="gramStart"/>
      <w:r w:rsidRPr="00CC12C6">
        <w:rPr>
          <w:rFonts w:eastAsia="Times New Roman"/>
          <w:b w:val="0"/>
          <w:color w:val="333333"/>
          <w:sz w:val="24"/>
          <w:szCs w:val="24"/>
        </w:rPr>
        <w:t xml:space="preserve">Structure of the </w:t>
      </w:r>
      <w:proofErr w:type="spellStart"/>
      <w:r w:rsidRPr="00CC12C6">
        <w:rPr>
          <w:rFonts w:eastAsia="Times New Roman"/>
          <w:b w:val="0"/>
          <w:color w:val="333333"/>
          <w:sz w:val="24"/>
          <w:szCs w:val="24"/>
        </w:rPr>
        <w:t>methanofuran</w:t>
      </w:r>
      <w:proofErr w:type="spellEnd"/>
      <w:r w:rsidRPr="00CC12C6">
        <w:rPr>
          <w:rFonts w:eastAsia="Times New Roman"/>
          <w:b w:val="0"/>
          <w:color w:val="333333"/>
          <w:sz w:val="24"/>
          <w:szCs w:val="24"/>
        </w:rPr>
        <w:t>/</w:t>
      </w:r>
      <w:proofErr w:type="spellStart"/>
      <w:r w:rsidRPr="00CC12C6">
        <w:rPr>
          <w:rFonts w:eastAsia="Times New Roman"/>
          <w:b w:val="0"/>
          <w:color w:val="333333"/>
          <w:sz w:val="24"/>
          <w:szCs w:val="24"/>
        </w:rPr>
        <w:t>methanopterin</w:t>
      </w:r>
      <w:proofErr w:type="spellEnd"/>
      <w:r w:rsidRPr="00CC12C6">
        <w:rPr>
          <w:rFonts w:eastAsia="Times New Roman"/>
          <w:b w:val="0"/>
          <w:color w:val="333333"/>
          <w:sz w:val="24"/>
          <w:szCs w:val="24"/>
        </w:rPr>
        <w:t xml:space="preserve"> biosynthetic enzyme MJ1099</w:t>
      </w:r>
      <w:r>
        <w:rPr>
          <w:rFonts w:eastAsia="Times New Roman"/>
          <w:b w:val="0"/>
          <w:color w:val="333333"/>
          <w:sz w:val="24"/>
          <w:szCs w:val="24"/>
        </w:rPr>
        <w:t xml:space="preserve"> f</w:t>
      </w:r>
      <w:r w:rsidRPr="00CC12C6">
        <w:rPr>
          <w:rFonts w:eastAsia="Times New Roman"/>
          <w:b w:val="0"/>
          <w:color w:val="333333"/>
          <w:sz w:val="24"/>
          <w:szCs w:val="24"/>
        </w:rPr>
        <w:t>rom</w:t>
      </w:r>
      <w:r>
        <w:rPr>
          <w:rFonts w:eastAsia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i/>
          <w:iCs/>
          <w:color w:val="333333"/>
          <w:sz w:val="24"/>
          <w:szCs w:val="24"/>
        </w:rPr>
        <w:t>Methanocaldococcus</w:t>
      </w:r>
      <w:proofErr w:type="spellEnd"/>
      <w:r w:rsidRPr="00CC12C6">
        <w:rPr>
          <w:rFonts w:eastAsia="Times New Roman"/>
          <w:b w:val="0"/>
          <w:i/>
          <w:iCs/>
          <w:color w:val="333333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i/>
          <w:iCs/>
          <w:color w:val="333333"/>
          <w:sz w:val="24"/>
          <w:szCs w:val="24"/>
        </w:rPr>
        <w:t>jannaschii</w:t>
      </w:r>
      <w:proofErr w:type="spellEnd"/>
      <w:r>
        <w:rPr>
          <w:rFonts w:eastAsia="Times New Roman"/>
          <w:b w:val="0"/>
          <w:color w:val="333333"/>
          <w:sz w:val="24"/>
          <w:szCs w:val="24"/>
        </w:rPr>
        <w:t>.</w:t>
      </w:r>
      <w:proofErr w:type="gramEnd"/>
      <w:r>
        <w:rPr>
          <w:rFonts w:eastAsia="Times New Roman"/>
          <w:b w:val="0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b w:val="0"/>
          <w:i/>
          <w:iCs/>
          <w:color w:val="000000"/>
          <w:sz w:val="24"/>
          <w:szCs w:val="24"/>
        </w:rPr>
        <w:t>Acta</w:t>
      </w:r>
      <w:proofErr w:type="spellEnd"/>
      <w:r>
        <w:rPr>
          <w:rFonts w:eastAsia="Times New Roman"/>
          <w:b w:val="0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i/>
          <w:iCs/>
          <w:color w:val="000000"/>
          <w:sz w:val="24"/>
          <w:szCs w:val="24"/>
        </w:rPr>
        <w:t>Cryst</w:t>
      </w:r>
      <w:proofErr w:type="spellEnd"/>
      <w:r>
        <w:rPr>
          <w:rFonts w:eastAsia="Times New Roman"/>
          <w:b w:val="0"/>
          <w:i/>
          <w:iCs/>
          <w:color w:val="000000"/>
          <w:sz w:val="24"/>
          <w:szCs w:val="24"/>
        </w:rPr>
        <w:t>.</w:t>
      </w:r>
      <w:proofErr w:type="gramEnd"/>
      <w:r>
        <w:rPr>
          <w:rFonts w:eastAsia="Times New Roman"/>
          <w:b w:val="0"/>
          <w:i/>
          <w:iCs/>
          <w:color w:val="000000"/>
          <w:sz w:val="24"/>
          <w:szCs w:val="24"/>
        </w:rPr>
        <w:t xml:space="preserve"> </w:t>
      </w:r>
      <w:r w:rsidRPr="00CC12C6">
        <w:rPr>
          <w:rFonts w:eastAsia="Times New Roman"/>
          <w:bCs/>
          <w:color w:val="000000"/>
          <w:sz w:val="24"/>
          <w:szCs w:val="24"/>
        </w:rPr>
        <w:t>F70:</w:t>
      </w:r>
      <w:r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CC12C6">
        <w:rPr>
          <w:rFonts w:eastAsia="Times New Roman"/>
          <w:b w:val="0"/>
          <w:color w:val="000000"/>
          <w:sz w:val="24"/>
          <w:szCs w:val="24"/>
        </w:rPr>
        <w:t>1472-1479.</w:t>
      </w: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Satagopan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S, </w:t>
      </w:r>
      <w:r w:rsidRPr="00CC12C6">
        <w:rPr>
          <w:rFonts w:eastAsia="Times New Roman"/>
          <w:bCs/>
          <w:color w:val="000000"/>
          <w:sz w:val="24"/>
          <w:szCs w:val="24"/>
        </w:rPr>
        <w:t>Chan S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, Perry LJ,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Tabita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FR. 2014. Structure-function studies with the unique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hexameric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form II ribulose-1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,5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>-bisphosphate carboxylase/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oxygenase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(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Rubisco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>) from </w:t>
      </w:r>
      <w:proofErr w:type="spellStart"/>
      <w:r w:rsidRPr="00CC12C6">
        <w:rPr>
          <w:rFonts w:eastAsia="Times New Roman"/>
          <w:b w:val="0"/>
          <w:i/>
          <w:iCs/>
          <w:color w:val="000000"/>
          <w:sz w:val="24"/>
          <w:szCs w:val="24"/>
        </w:rPr>
        <w:t>Rhodopseudomonas</w:t>
      </w:r>
      <w:proofErr w:type="spellEnd"/>
      <w:r w:rsidRPr="00CC12C6">
        <w:rPr>
          <w:rFonts w:eastAsia="Times New Roman"/>
          <w:b w:val="0"/>
          <w:i/>
          <w:iCs/>
          <w:color w:val="000000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i/>
          <w:iCs/>
          <w:color w:val="000000"/>
          <w:sz w:val="24"/>
          <w:szCs w:val="24"/>
        </w:rPr>
        <w:t>palustris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. J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Biol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Chem. </w:t>
      </w:r>
      <w:r w:rsidRPr="00CC12C6">
        <w:rPr>
          <w:rFonts w:eastAsia="Times New Roman"/>
          <w:bCs/>
          <w:color w:val="000000"/>
          <w:sz w:val="24"/>
          <w:szCs w:val="24"/>
        </w:rPr>
        <w:t>289: </w:t>
      </w:r>
      <w:r w:rsidRPr="00CC12C6">
        <w:rPr>
          <w:rFonts w:eastAsia="Times New Roman"/>
          <w:b w:val="0"/>
          <w:color w:val="000000"/>
          <w:sz w:val="24"/>
          <w:szCs w:val="24"/>
        </w:rPr>
        <w:t>21433-50.</w:t>
      </w: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Arbing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MA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r w:rsidRPr="00CC12C6">
        <w:rPr>
          <w:rFonts w:eastAsia="Times New Roman"/>
          <w:bCs/>
          <w:color w:val="000000"/>
          <w:sz w:val="24"/>
          <w:szCs w:val="24"/>
        </w:rPr>
        <w:t>Chan S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, Harris L,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Kuo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E, </w:t>
      </w:r>
      <w:r w:rsidRPr="00CC12C6">
        <w:rPr>
          <w:rFonts w:eastAsia="Times New Roman"/>
          <w:bCs/>
          <w:color w:val="000000"/>
          <w:sz w:val="24"/>
          <w:szCs w:val="24"/>
        </w:rPr>
        <w:t>Zhou TT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Ahn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CJ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, Nguyen L, He Q, Lu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J,Menchavez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PT, </w:t>
      </w:r>
      <w:r w:rsidRPr="00CC12C6">
        <w:rPr>
          <w:rFonts w:eastAsia="Times New Roman"/>
          <w:bCs/>
          <w:color w:val="000000"/>
          <w:sz w:val="24"/>
          <w:szCs w:val="24"/>
        </w:rPr>
        <w:t>Shin A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, Holton T,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Sawaya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MR,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Cascio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D, Eisenberg D. 2013. Heterologous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xxpression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of mycobacterial Esx complexes in </w:t>
      </w:r>
      <w:r w:rsidRPr="00CC12C6">
        <w:rPr>
          <w:rFonts w:eastAsia="Times New Roman"/>
          <w:b w:val="0"/>
          <w:i/>
          <w:iCs/>
          <w:color w:val="000000"/>
          <w:sz w:val="24"/>
          <w:szCs w:val="24"/>
        </w:rPr>
        <w:t>Escherichia coli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 for structural studies is facilitated by the use of maltose binding protein fusions. </w:t>
      </w:r>
      <w:proofErr w:type="spellStart"/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PLoS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One.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> </w:t>
      </w:r>
      <w:r w:rsidRPr="00CC12C6">
        <w:rPr>
          <w:rFonts w:eastAsia="Times New Roman"/>
          <w:bCs/>
          <w:color w:val="000000"/>
          <w:sz w:val="24"/>
          <w:szCs w:val="24"/>
        </w:rPr>
        <w:t>8:</w:t>
      </w:r>
      <w:r w:rsidRPr="00CC12C6">
        <w:rPr>
          <w:rFonts w:eastAsia="Times New Roman"/>
          <w:b w:val="0"/>
          <w:color w:val="000000"/>
          <w:sz w:val="24"/>
          <w:szCs w:val="24"/>
        </w:rPr>
        <w:t> e81753.</w:t>
      </w: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Miallau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L, Jain P, </w:t>
      </w: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Arbing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MA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Cascio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D, </w:t>
      </w:r>
      <w:r w:rsidRPr="00CC12C6">
        <w:rPr>
          <w:rFonts w:eastAsia="Times New Roman"/>
          <w:bCs/>
          <w:color w:val="000000"/>
          <w:sz w:val="24"/>
          <w:szCs w:val="24"/>
        </w:rPr>
        <w:t>Phan T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Ahn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CJ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r w:rsidRPr="00CC12C6">
        <w:rPr>
          <w:rFonts w:eastAsia="Times New Roman"/>
          <w:bCs/>
          <w:color w:val="000000"/>
          <w:sz w:val="24"/>
          <w:szCs w:val="24"/>
        </w:rPr>
        <w:t>Chan S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Chernishof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I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Maxson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M, Chiang J, Jacobs WR Jr, Eisenberg DS. 2013. Comparative proteomics identifies the cell-associated lethality of </w:t>
      </w:r>
      <w:r w:rsidRPr="00CC12C6">
        <w:rPr>
          <w:rFonts w:eastAsia="Times New Roman"/>
          <w:b w:val="0"/>
          <w:i/>
          <w:iCs/>
          <w:color w:val="000000"/>
          <w:sz w:val="24"/>
          <w:szCs w:val="24"/>
        </w:rPr>
        <w:t>M</w:t>
      </w:r>
      <w:r w:rsidRPr="00CC12C6">
        <w:rPr>
          <w:rFonts w:eastAsia="Times New Roman"/>
          <w:b w:val="0"/>
          <w:color w:val="000000"/>
          <w:sz w:val="24"/>
          <w:szCs w:val="24"/>
        </w:rPr>
        <w:t>. </w:t>
      </w:r>
      <w:r w:rsidRPr="00CC12C6">
        <w:rPr>
          <w:rFonts w:eastAsia="Times New Roman"/>
          <w:b w:val="0"/>
          <w:i/>
          <w:iCs/>
          <w:color w:val="000000"/>
          <w:sz w:val="24"/>
          <w:szCs w:val="24"/>
        </w:rPr>
        <w:t>tuberculosis</w:t>
      </w:r>
      <w:r w:rsidRPr="00CC12C6">
        <w:rPr>
          <w:rFonts w:eastAsia="Times New Roman"/>
          <w:b w:val="0"/>
          <w:color w:val="000000"/>
          <w:sz w:val="24"/>
          <w:szCs w:val="24"/>
        </w:rPr>
        <w:t> 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RelBE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-like toxin-antitoxin complexes. 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Structure.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> </w:t>
      </w:r>
      <w:r w:rsidRPr="00CC12C6">
        <w:rPr>
          <w:rFonts w:eastAsia="Times New Roman"/>
          <w:bCs/>
          <w:color w:val="000000"/>
          <w:sz w:val="24"/>
          <w:szCs w:val="24"/>
        </w:rPr>
        <w:t>21:</w:t>
      </w:r>
      <w:r w:rsidRPr="00CC12C6">
        <w:rPr>
          <w:rFonts w:eastAsia="Times New Roman"/>
          <w:b w:val="0"/>
          <w:color w:val="000000"/>
          <w:sz w:val="24"/>
          <w:szCs w:val="24"/>
        </w:rPr>
        <w:t> 627-37.</w:t>
      </w: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Arbing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MA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r w:rsidRPr="00CC12C6">
        <w:rPr>
          <w:rFonts w:eastAsia="Times New Roman"/>
          <w:bCs/>
          <w:color w:val="000000"/>
          <w:sz w:val="24"/>
          <w:szCs w:val="24"/>
        </w:rPr>
        <w:t>Chan S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r w:rsidRPr="00CC12C6">
        <w:rPr>
          <w:rFonts w:eastAsia="Times New Roman"/>
          <w:bCs/>
          <w:color w:val="000000"/>
          <w:sz w:val="24"/>
          <w:szCs w:val="24"/>
        </w:rPr>
        <w:t>Shin A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r w:rsidRPr="00CC12C6">
        <w:rPr>
          <w:rFonts w:eastAsia="Times New Roman"/>
          <w:bCs/>
          <w:color w:val="000000"/>
          <w:sz w:val="24"/>
          <w:szCs w:val="24"/>
        </w:rPr>
        <w:t>Phan T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Ahn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CJ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Rohlin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L, 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Gunsalus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RP. 2012. Structure of the surface layer of the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methanogenic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archaean</w:t>
      </w:r>
      <w:proofErr w:type="spellEnd"/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> </w:t>
      </w:r>
      <w:r w:rsidRPr="00CC12C6">
        <w:rPr>
          <w:rFonts w:eastAsia="Times New Roman"/>
          <w:b w:val="0"/>
          <w:i/>
          <w:iCs/>
          <w:color w:val="000000"/>
          <w:sz w:val="24"/>
          <w:szCs w:val="24"/>
        </w:rPr>
        <w:t>Methanosarcina acetivorans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.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Proc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Natl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Acad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Sci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USA. </w:t>
      </w:r>
      <w:r w:rsidRPr="00CC12C6">
        <w:rPr>
          <w:rFonts w:eastAsia="Times New Roman"/>
          <w:bCs/>
          <w:color w:val="000000"/>
          <w:sz w:val="24"/>
          <w:szCs w:val="24"/>
        </w:rPr>
        <w:t>109:</w:t>
      </w:r>
      <w:r w:rsidRPr="00CC12C6">
        <w:rPr>
          <w:rFonts w:eastAsia="Times New Roman"/>
          <w:b w:val="0"/>
          <w:color w:val="000000"/>
          <w:sz w:val="24"/>
          <w:szCs w:val="24"/>
        </w:rPr>
        <w:t> 11812-7.</w:t>
      </w: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Urzica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EI, Adler LN, Page MD,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Linster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CL, </w:t>
      </w: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Arbing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MA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Casero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D,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Pellegrini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M, Merchant SS, Clarke SG. 2012. Impact of oxidative stress on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ascorbate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biosynthesis in </w:t>
      </w:r>
      <w:proofErr w:type="spellStart"/>
      <w:r w:rsidRPr="00CC12C6">
        <w:rPr>
          <w:rFonts w:eastAsia="Times New Roman"/>
          <w:b w:val="0"/>
          <w:i/>
          <w:iCs/>
          <w:color w:val="000000"/>
          <w:sz w:val="24"/>
          <w:szCs w:val="24"/>
        </w:rPr>
        <w:t>Chlamydomonas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 via regulation of the VTC2 gene encoding a GDP-L-galactose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phosphorylase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. J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Biol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Chem. </w:t>
      </w:r>
      <w:r w:rsidRPr="00CC12C6">
        <w:rPr>
          <w:rFonts w:eastAsia="Times New Roman"/>
          <w:bCs/>
          <w:color w:val="000000"/>
          <w:sz w:val="24"/>
          <w:szCs w:val="24"/>
        </w:rPr>
        <w:t>287:</w:t>
      </w:r>
      <w:r w:rsidRPr="00CC12C6">
        <w:rPr>
          <w:rFonts w:eastAsia="Times New Roman"/>
          <w:b w:val="0"/>
          <w:color w:val="000000"/>
          <w:sz w:val="24"/>
          <w:szCs w:val="24"/>
        </w:rPr>
        <w:t>14234-45.</w:t>
      </w: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Arbing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MA</w:t>
      </w:r>
      <w:r w:rsidRPr="00CC12C6">
        <w:rPr>
          <w:rFonts w:eastAsia="Times New Roman"/>
          <w:b w:val="0"/>
          <w:color w:val="000000"/>
          <w:sz w:val="24"/>
          <w:szCs w:val="24"/>
        </w:rPr>
        <w:t>, Kaufmann M, </w:t>
      </w:r>
      <w:r w:rsidRPr="00CC12C6">
        <w:rPr>
          <w:rFonts w:eastAsia="Times New Roman"/>
          <w:bCs/>
          <w:color w:val="000000"/>
          <w:sz w:val="24"/>
          <w:szCs w:val="24"/>
        </w:rPr>
        <w:t>Phan T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r w:rsidRPr="00CC12C6">
        <w:rPr>
          <w:rFonts w:eastAsia="Times New Roman"/>
          <w:bCs/>
          <w:color w:val="000000"/>
          <w:sz w:val="24"/>
          <w:szCs w:val="24"/>
        </w:rPr>
        <w:t>Chan S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Cascio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D, Eisenberg D. 2010. The crystal structure of the </w:t>
      </w:r>
      <w:r w:rsidRPr="00CC12C6">
        <w:rPr>
          <w:rFonts w:eastAsia="Times New Roman"/>
          <w:b w:val="0"/>
          <w:i/>
          <w:iCs/>
          <w:color w:val="000000"/>
          <w:sz w:val="24"/>
          <w:szCs w:val="24"/>
        </w:rPr>
        <w:t>Mycobacterium tuberculosis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 Rv3019c-Rv3020c ESX complex reveals a domain-swapped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heterotetramer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>. Protein Sci. </w:t>
      </w:r>
      <w:r w:rsidRPr="00CC12C6">
        <w:rPr>
          <w:rFonts w:eastAsia="Times New Roman"/>
          <w:bCs/>
          <w:color w:val="000000"/>
          <w:sz w:val="24"/>
          <w:szCs w:val="24"/>
        </w:rPr>
        <w:t>19:</w:t>
      </w:r>
      <w:r w:rsidRPr="00CC12C6">
        <w:rPr>
          <w:rFonts w:eastAsia="Times New Roman"/>
          <w:b w:val="0"/>
          <w:color w:val="000000"/>
          <w:sz w:val="24"/>
          <w:szCs w:val="24"/>
        </w:rPr>
        <w:t> 1692-703.</w:t>
      </w: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r w:rsidRPr="00CC12C6">
        <w:rPr>
          <w:rFonts w:eastAsia="Times New Roman"/>
          <w:bCs/>
          <w:color w:val="000000"/>
          <w:sz w:val="24"/>
          <w:szCs w:val="24"/>
        </w:rPr>
        <w:t>Chan S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Giuroiu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I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Chernishof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I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Sawaya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MR, </w:t>
      </w:r>
      <w:r w:rsidRPr="00CC12C6">
        <w:rPr>
          <w:rFonts w:eastAsia="Times New Roman"/>
          <w:bCs/>
          <w:color w:val="000000"/>
          <w:sz w:val="24"/>
          <w:szCs w:val="24"/>
        </w:rPr>
        <w:t>Chiang J</w:t>
      </w:r>
      <w:r w:rsidRPr="00CC12C6">
        <w:rPr>
          <w:rFonts w:eastAsia="Times New Roman"/>
          <w:b w:val="0"/>
          <w:color w:val="000000"/>
          <w:sz w:val="24"/>
          <w:szCs w:val="24"/>
        </w:rPr>
        <w:t>, Gunsalus RP, </w:t>
      </w: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Arbing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MA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r w:rsidRPr="00CC12C6">
        <w:rPr>
          <w:rFonts w:eastAsia="Times New Roman"/>
          <w:bCs/>
          <w:color w:val="000000"/>
          <w:sz w:val="24"/>
          <w:szCs w:val="24"/>
        </w:rPr>
        <w:t>Perry LJ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. 2010. Apo and ligand-bound structures of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ModA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from the archaeon </w:t>
      </w:r>
      <w:r w:rsidRPr="00CC12C6">
        <w:rPr>
          <w:rFonts w:eastAsia="Times New Roman"/>
          <w:b w:val="0"/>
          <w:i/>
          <w:iCs/>
          <w:color w:val="000000"/>
          <w:sz w:val="24"/>
          <w:szCs w:val="24"/>
        </w:rPr>
        <w:t>Methanosarcina acetivorans.</w:t>
      </w:r>
      <w:r w:rsidRPr="00CC12C6">
        <w:rPr>
          <w:rFonts w:eastAsia="Times New Roman"/>
          <w:b w:val="0"/>
          <w:color w:val="000000"/>
          <w:sz w:val="24"/>
          <w:szCs w:val="24"/>
        </w:rPr>
        <w:t> </w:t>
      </w:r>
      <w:proofErr w:type="spellStart"/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Acta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Cryst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>.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> </w:t>
      </w:r>
      <w:r w:rsidRPr="00CC12C6">
        <w:rPr>
          <w:rFonts w:eastAsia="Times New Roman"/>
          <w:bCs/>
          <w:color w:val="000000"/>
          <w:sz w:val="24"/>
          <w:szCs w:val="24"/>
        </w:rPr>
        <w:t>F66:</w:t>
      </w:r>
      <w:r w:rsidRPr="00CC12C6">
        <w:rPr>
          <w:rFonts w:eastAsia="Times New Roman"/>
          <w:b w:val="0"/>
          <w:color w:val="000000"/>
          <w:sz w:val="24"/>
          <w:szCs w:val="24"/>
        </w:rPr>
        <w:t> 242-50.</w:t>
      </w: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Miallau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L, Faller M, </w:t>
      </w:r>
      <w:r w:rsidRPr="00CC12C6">
        <w:rPr>
          <w:rFonts w:eastAsia="Times New Roman"/>
          <w:bCs/>
          <w:color w:val="000000"/>
          <w:sz w:val="24"/>
          <w:szCs w:val="24"/>
        </w:rPr>
        <w:t>Chiang J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proofErr w:type="spellStart"/>
      <w:r w:rsidRPr="00CC12C6">
        <w:rPr>
          <w:rFonts w:eastAsia="Times New Roman"/>
          <w:bCs/>
          <w:color w:val="000000"/>
          <w:sz w:val="24"/>
          <w:szCs w:val="24"/>
        </w:rPr>
        <w:t>Arbing</w:t>
      </w:r>
      <w:proofErr w:type="spellEnd"/>
      <w:r w:rsidRPr="00CC12C6">
        <w:rPr>
          <w:rFonts w:eastAsia="Times New Roman"/>
          <w:bCs/>
          <w:color w:val="000000"/>
          <w:sz w:val="24"/>
          <w:szCs w:val="24"/>
        </w:rPr>
        <w:t xml:space="preserve"> M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Guo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F,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Cascio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D, Eisenberg D. 2009. 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 xml:space="preserve">Structure and proposed activity of a member of the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VapBC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family of toxin-antitoxin systems.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VapBC-5 from </w:t>
      </w:r>
      <w:r w:rsidRPr="00CC12C6">
        <w:rPr>
          <w:rFonts w:eastAsia="Times New Roman"/>
          <w:b w:val="0"/>
          <w:i/>
          <w:iCs/>
          <w:color w:val="000000"/>
          <w:sz w:val="24"/>
          <w:szCs w:val="24"/>
        </w:rPr>
        <w:t>Mycobacterium tuberculosis</w:t>
      </w:r>
      <w:r w:rsidRPr="00CC12C6">
        <w:rPr>
          <w:rFonts w:eastAsia="Times New Roman"/>
          <w:b w:val="0"/>
          <w:color w:val="000000"/>
          <w:sz w:val="24"/>
          <w:szCs w:val="24"/>
        </w:rPr>
        <w:t>.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J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Biol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Chem. </w:t>
      </w:r>
      <w:r w:rsidRPr="00CC12C6">
        <w:rPr>
          <w:rFonts w:eastAsia="Times New Roman"/>
          <w:bCs/>
          <w:color w:val="000000"/>
          <w:sz w:val="24"/>
          <w:szCs w:val="24"/>
        </w:rPr>
        <w:t>284:</w:t>
      </w:r>
      <w:r w:rsidRPr="00CC12C6">
        <w:rPr>
          <w:rFonts w:eastAsia="Times New Roman"/>
          <w:b w:val="0"/>
          <w:color w:val="000000"/>
          <w:sz w:val="24"/>
          <w:szCs w:val="24"/>
        </w:rPr>
        <w:t> 276-83.</w:t>
      </w: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Tabita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FR, Hanson TE, Li H,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Satagopan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S, Singh J, </w:t>
      </w:r>
      <w:r w:rsidRPr="00CC12C6">
        <w:rPr>
          <w:rFonts w:eastAsia="Times New Roman"/>
          <w:bCs/>
          <w:color w:val="000000"/>
          <w:sz w:val="24"/>
          <w:szCs w:val="24"/>
        </w:rPr>
        <w:t>Chan S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. 2007. 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Function, structure, and evolution of the RubisCO-like proteins and their RubisCO homologs.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Microbiol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Mol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Biol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Rev. </w:t>
      </w:r>
      <w:r w:rsidRPr="00CC12C6">
        <w:rPr>
          <w:rFonts w:eastAsia="Times New Roman"/>
          <w:bCs/>
          <w:color w:val="000000"/>
          <w:sz w:val="24"/>
          <w:szCs w:val="24"/>
        </w:rPr>
        <w:t>71:</w:t>
      </w:r>
      <w:r w:rsidRPr="00CC12C6">
        <w:rPr>
          <w:rFonts w:eastAsia="Times New Roman"/>
          <w:b w:val="0"/>
          <w:color w:val="000000"/>
          <w:sz w:val="24"/>
          <w:szCs w:val="24"/>
        </w:rPr>
        <w:t> 576-99.</w:t>
      </w:r>
      <w:proofErr w:type="gramEnd"/>
    </w:p>
    <w:p w:rsidR="00CC12C6" w:rsidRPr="00CC12C6" w:rsidRDefault="00CC12C6" w:rsidP="00CC12C6">
      <w:pPr>
        <w:spacing w:before="100" w:beforeAutospacing="1" w:after="0" w:line="240" w:lineRule="auto"/>
        <w:jc w:val="both"/>
        <w:rPr>
          <w:rFonts w:eastAsia="Times New Roman"/>
          <w:b w:val="0"/>
          <w:color w:val="000000"/>
          <w:sz w:val="24"/>
          <w:szCs w:val="24"/>
        </w:rPr>
      </w:pPr>
      <w:r w:rsidRPr="00CC12C6">
        <w:rPr>
          <w:rFonts w:eastAsia="Times New Roman"/>
          <w:b w:val="0"/>
          <w:color w:val="000000"/>
          <w:sz w:val="24"/>
          <w:szCs w:val="24"/>
        </w:rPr>
        <w:t xml:space="preserve">Choi B,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Zocchi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G,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Canale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S, Wu Y, </w:t>
      </w:r>
      <w:r w:rsidRPr="00CC12C6">
        <w:rPr>
          <w:rFonts w:eastAsia="Times New Roman"/>
          <w:bCs/>
          <w:color w:val="000000"/>
          <w:sz w:val="24"/>
          <w:szCs w:val="24"/>
        </w:rPr>
        <w:t>Chan S</w:t>
      </w:r>
      <w:r w:rsidRPr="00CC12C6">
        <w:rPr>
          <w:rFonts w:eastAsia="Times New Roman"/>
          <w:b w:val="0"/>
          <w:color w:val="000000"/>
          <w:sz w:val="24"/>
          <w:szCs w:val="24"/>
        </w:rPr>
        <w:t>, </w:t>
      </w:r>
      <w:r w:rsidRPr="00CC12C6">
        <w:rPr>
          <w:rFonts w:eastAsia="Times New Roman"/>
          <w:bCs/>
          <w:color w:val="000000"/>
          <w:sz w:val="24"/>
          <w:szCs w:val="24"/>
        </w:rPr>
        <w:t>Perry LJ</w:t>
      </w:r>
      <w:r w:rsidRPr="00CC12C6">
        <w:rPr>
          <w:rFonts w:eastAsia="Times New Roman"/>
          <w:b w:val="0"/>
          <w:color w:val="000000"/>
          <w:sz w:val="24"/>
          <w:szCs w:val="24"/>
        </w:rPr>
        <w:t xml:space="preserve">. 2005. Artificial allosteric control of maltose binding protein. </w:t>
      </w:r>
      <w:proofErr w:type="spellStart"/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Phys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Rev Lett.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> </w:t>
      </w:r>
      <w:r w:rsidRPr="00CC12C6">
        <w:rPr>
          <w:rFonts w:eastAsia="Times New Roman"/>
          <w:bCs/>
          <w:color w:val="000000"/>
          <w:sz w:val="24"/>
          <w:szCs w:val="24"/>
        </w:rPr>
        <w:t>94: </w:t>
      </w:r>
      <w:r w:rsidRPr="00CC12C6">
        <w:rPr>
          <w:rFonts w:eastAsia="Times New Roman"/>
          <w:b w:val="0"/>
          <w:color w:val="000000"/>
          <w:sz w:val="24"/>
          <w:szCs w:val="24"/>
        </w:rPr>
        <w:t>038103. </w:t>
      </w:r>
    </w:p>
    <w:p w:rsidR="000B6395" w:rsidRDefault="000B6395" w:rsidP="00CC12C6">
      <w:pPr>
        <w:spacing w:before="150" w:after="150" w:line="240" w:lineRule="atLeast"/>
        <w:jc w:val="both"/>
        <w:rPr>
          <w:rFonts w:eastAsia="Times New Roman"/>
          <w:bCs/>
          <w:color w:val="000000"/>
          <w:sz w:val="24"/>
          <w:szCs w:val="24"/>
        </w:rPr>
      </w:pPr>
    </w:p>
    <w:p w:rsidR="00CC12C6" w:rsidRPr="00CC12C6" w:rsidRDefault="00CC12C6" w:rsidP="00CC12C6">
      <w:pPr>
        <w:spacing w:before="150" w:after="150" w:line="240" w:lineRule="atLeast"/>
        <w:jc w:val="both"/>
        <w:rPr>
          <w:rFonts w:eastAsia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CC12C6">
        <w:rPr>
          <w:rFonts w:eastAsia="Times New Roman"/>
          <w:bCs/>
          <w:color w:val="000000"/>
          <w:sz w:val="24"/>
          <w:szCs w:val="24"/>
        </w:rPr>
        <w:t>Acknowledged in:</w:t>
      </w:r>
    </w:p>
    <w:p w:rsidR="00CC12C6" w:rsidRPr="00CC12C6" w:rsidRDefault="00CC12C6" w:rsidP="00CC12C6">
      <w:pPr>
        <w:spacing w:before="100" w:beforeAutospacing="1" w:after="0" w:line="240" w:lineRule="auto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Fristedt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R, Williams-Carrier R, Merchant SS,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Barkan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A. 2014. A Thylakoid Membrane Protein Harboring a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DnaJ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-type Zinc Finger Domain is 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Required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for Photosystem I Accumulation in Plants. 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 xml:space="preserve">J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Biol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Chem.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In press.</w:t>
      </w:r>
      <w:proofErr w:type="gramEnd"/>
    </w:p>
    <w:p w:rsidR="00CC12C6" w:rsidRPr="00CC12C6" w:rsidRDefault="00CC12C6" w:rsidP="00CC12C6">
      <w:pPr>
        <w:spacing w:before="100" w:beforeAutospacing="1" w:after="0" w:line="240" w:lineRule="auto"/>
        <w:jc w:val="both"/>
        <w:rPr>
          <w:rFonts w:eastAsia="Times New Roman"/>
          <w:b w:val="0"/>
          <w:color w:val="000000"/>
          <w:sz w:val="24"/>
          <w:szCs w:val="24"/>
        </w:rPr>
      </w:pPr>
      <w:r w:rsidRPr="00CC12C6">
        <w:rPr>
          <w:rFonts w:eastAsia="Times New Roman"/>
          <w:b w:val="0"/>
          <w:color w:val="000000"/>
          <w:sz w:val="24"/>
          <w:szCs w:val="24"/>
        </w:rPr>
        <w:t xml:space="preserve">Hsieh SI,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Castruita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M,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Malasarn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D,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Urzica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E,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Erde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J, Page MD, Yamasaki H,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Casero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D,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Pellegrini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M, Merchant SS, Loo JA. 2013. The proteome of copper, iron, zinc, and manganese micronutrient deficiency in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Chlamydomonas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reinhardtii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. </w:t>
      </w:r>
      <w:proofErr w:type="spellStart"/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Mol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Cell Proteomics.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> </w:t>
      </w:r>
      <w:r w:rsidRPr="00CC12C6">
        <w:rPr>
          <w:rFonts w:eastAsia="Times New Roman"/>
          <w:bCs/>
          <w:color w:val="000000"/>
          <w:sz w:val="24"/>
          <w:szCs w:val="24"/>
        </w:rPr>
        <w:t>12:</w:t>
      </w:r>
      <w:r w:rsidRPr="00CC12C6">
        <w:rPr>
          <w:rFonts w:eastAsia="Times New Roman"/>
          <w:b w:val="0"/>
          <w:color w:val="000000"/>
          <w:sz w:val="24"/>
          <w:szCs w:val="24"/>
        </w:rPr>
        <w:t> 65-86.</w:t>
      </w:r>
    </w:p>
    <w:p w:rsidR="00CC12C6" w:rsidRPr="00CC12C6" w:rsidRDefault="00CC12C6" w:rsidP="00CC12C6">
      <w:pPr>
        <w:spacing w:before="100" w:beforeAutospacing="1" w:after="0" w:line="240" w:lineRule="auto"/>
        <w:jc w:val="both"/>
        <w:rPr>
          <w:rFonts w:eastAsia="Times New Roman"/>
          <w:b w:val="0"/>
          <w:color w:val="000000"/>
          <w:sz w:val="24"/>
          <w:szCs w:val="24"/>
        </w:rPr>
      </w:pPr>
      <w:r w:rsidRPr="00CC12C6">
        <w:rPr>
          <w:rFonts w:eastAsia="Times New Roman"/>
          <w:b w:val="0"/>
          <w:color w:val="000000"/>
          <w:sz w:val="24"/>
          <w:szCs w:val="24"/>
        </w:rPr>
        <w:t xml:space="preserve">Min AB,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Miallau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L,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Sawaya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MR,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Habel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J,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Cascio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D, Eisenberg D. 2012. The crystal structure of the Rv0301-Rv0300 VapBC-3 toxin—antitoxin complex from M. tuberculosis reveals 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a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Mg2+ ion in the active site and a putative RNA-binding site. Protein Sci. </w:t>
      </w:r>
      <w:r w:rsidRPr="00CC12C6">
        <w:rPr>
          <w:rFonts w:eastAsia="Times New Roman"/>
          <w:bCs/>
          <w:color w:val="000000"/>
          <w:sz w:val="24"/>
          <w:szCs w:val="24"/>
        </w:rPr>
        <w:t>21:</w:t>
      </w:r>
      <w:r w:rsidRPr="00CC12C6">
        <w:rPr>
          <w:rFonts w:eastAsia="Times New Roman"/>
          <w:b w:val="0"/>
          <w:color w:val="000000"/>
          <w:sz w:val="24"/>
          <w:szCs w:val="24"/>
        </w:rPr>
        <w:t> 1754–1767.</w:t>
      </w:r>
    </w:p>
    <w:p w:rsidR="00CC12C6" w:rsidRPr="00CC12C6" w:rsidRDefault="00CC12C6" w:rsidP="00CC12C6">
      <w:pPr>
        <w:spacing w:before="100" w:beforeAutospacing="1" w:after="0" w:line="240" w:lineRule="auto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Teng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PK, Anderson NJ, Goldschmidt L,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Sawaya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MR,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Sambashivan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S, Eisenberg D. 2012. Ribonuclease A suggests how proteins self-chaperone against amyloid fiber formation. Protein Sci. </w:t>
      </w:r>
      <w:r w:rsidRPr="00CC12C6">
        <w:rPr>
          <w:rFonts w:eastAsia="Times New Roman"/>
          <w:bCs/>
          <w:color w:val="000000"/>
          <w:sz w:val="24"/>
          <w:szCs w:val="24"/>
        </w:rPr>
        <w:t>21:</w:t>
      </w:r>
      <w:r w:rsidRPr="00CC12C6">
        <w:rPr>
          <w:rFonts w:eastAsia="Times New Roman"/>
          <w:b w:val="0"/>
          <w:color w:val="000000"/>
          <w:sz w:val="24"/>
          <w:szCs w:val="24"/>
        </w:rPr>
        <w:t> 26–37. </w:t>
      </w:r>
    </w:p>
    <w:p w:rsidR="00CC12C6" w:rsidRPr="00CC12C6" w:rsidRDefault="00CC12C6" w:rsidP="00CC12C6">
      <w:pPr>
        <w:spacing w:before="100" w:beforeAutospacing="1" w:after="0" w:line="240" w:lineRule="auto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Besserer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GM, Nicoll DA, Abramson J, Philipson KD. 2012. Characterization and purification of a Na+/Ca2+ exchanger from an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archaebacterium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. J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Biol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Chem. </w:t>
      </w:r>
      <w:r w:rsidRPr="00CC12C6">
        <w:rPr>
          <w:rFonts w:eastAsia="Times New Roman"/>
          <w:bCs/>
          <w:color w:val="000000"/>
          <w:sz w:val="24"/>
          <w:szCs w:val="24"/>
        </w:rPr>
        <w:t>287:</w:t>
      </w:r>
      <w:r w:rsidRPr="00CC12C6">
        <w:rPr>
          <w:rFonts w:eastAsia="Times New Roman"/>
          <w:b w:val="0"/>
          <w:color w:val="000000"/>
          <w:sz w:val="24"/>
          <w:szCs w:val="24"/>
        </w:rPr>
        <w:t> 8652-9.</w:t>
      </w:r>
    </w:p>
    <w:p w:rsidR="00CC12C6" w:rsidRPr="00CC12C6" w:rsidRDefault="00CC12C6" w:rsidP="00CC12C6">
      <w:pPr>
        <w:spacing w:before="100" w:beforeAutospacing="1" w:after="0" w:line="240" w:lineRule="auto"/>
        <w:jc w:val="both"/>
        <w:rPr>
          <w:rFonts w:eastAsia="Times New Roman"/>
          <w:b w:val="0"/>
          <w:color w:val="000000"/>
          <w:sz w:val="24"/>
          <w:szCs w:val="24"/>
        </w:rPr>
      </w:pPr>
      <w:r w:rsidRPr="00CC12C6">
        <w:rPr>
          <w:rFonts w:eastAsia="Times New Roman"/>
          <w:b w:val="0"/>
          <w:color w:val="000000"/>
          <w:sz w:val="24"/>
          <w:szCs w:val="24"/>
        </w:rPr>
        <w:t xml:space="preserve">Wang A,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Zocchi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G. 2011. 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 xml:space="preserve">Artificial modulation of the gating behavior of a K+ channel in a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KvAP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>-DNA chimera.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PLoS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One.</w:t>
      </w:r>
      <w:r w:rsidRPr="00CC12C6">
        <w:rPr>
          <w:rFonts w:eastAsia="Times New Roman"/>
          <w:bCs/>
          <w:color w:val="000000"/>
          <w:sz w:val="24"/>
          <w:szCs w:val="24"/>
        </w:rPr>
        <w:t>6:</w:t>
      </w:r>
      <w:r w:rsidRPr="00CC12C6">
        <w:rPr>
          <w:rFonts w:eastAsia="Times New Roman"/>
          <w:b w:val="0"/>
          <w:color w:val="000000"/>
          <w:sz w:val="24"/>
          <w:szCs w:val="24"/>
        </w:rPr>
        <w:t> e18598.</w:t>
      </w:r>
    </w:p>
    <w:p w:rsidR="00CC12C6" w:rsidRPr="00CC12C6" w:rsidRDefault="00CC12C6" w:rsidP="00CC12C6">
      <w:pPr>
        <w:spacing w:before="100" w:beforeAutospacing="1" w:after="0" w:line="240" w:lineRule="auto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Chim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N,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Habel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JE, Johnston JM, Krieger I,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Miallau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L,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Sankaranarayanan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R, Morse RP,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Bruning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J, Swanson S, Kim H, Kim CY, Li H, Bulloch EM, Payne RJ, Manos-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Turvey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A, Hung LW, Baker EN, Lott JS, James MN,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Terwilliger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TC, Eisenberg DS,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Sacchettini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JC, Goulding CW. 2011. The TB Structural Genomics Consortium: a decade of progress. Tuberculosis (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Edinb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>).</w:t>
      </w:r>
      <w:r w:rsidRPr="00CC12C6">
        <w:rPr>
          <w:rFonts w:eastAsia="Times New Roman"/>
          <w:bCs/>
          <w:color w:val="000000"/>
          <w:sz w:val="24"/>
          <w:szCs w:val="24"/>
        </w:rPr>
        <w:t>91:</w:t>
      </w:r>
      <w:r w:rsidRPr="00CC12C6">
        <w:rPr>
          <w:rFonts w:eastAsia="Times New Roman"/>
          <w:b w:val="0"/>
          <w:color w:val="000000"/>
          <w:sz w:val="24"/>
          <w:szCs w:val="24"/>
        </w:rPr>
        <w:t> 155-72.</w:t>
      </w:r>
    </w:p>
    <w:p w:rsidR="00CC12C6" w:rsidRPr="00CC12C6" w:rsidRDefault="00CC12C6" w:rsidP="00CC12C6">
      <w:pPr>
        <w:spacing w:before="100" w:beforeAutospacing="1" w:after="0" w:line="240" w:lineRule="auto"/>
        <w:jc w:val="both"/>
        <w:rPr>
          <w:rFonts w:eastAsia="Times New Roman"/>
          <w:b w:val="0"/>
          <w:color w:val="000000"/>
          <w:sz w:val="24"/>
          <w:szCs w:val="24"/>
        </w:rPr>
      </w:pP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Laganowsky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A,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Benesch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JLP, Landau M, Ding L,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Sawaya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MR,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Cascio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D, Huang Q, Robinson CV,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Horwitz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J, Eisenberg D. 2010. Crystal structures of truncated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alphaA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and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alphaB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crystallins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reveal structural mechanisms of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polydispersity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important for eye lens function. Protein Sci. </w:t>
      </w:r>
      <w:r w:rsidRPr="00CC12C6">
        <w:rPr>
          <w:rFonts w:eastAsia="Times New Roman"/>
          <w:bCs/>
          <w:color w:val="000000"/>
          <w:sz w:val="24"/>
          <w:szCs w:val="24"/>
        </w:rPr>
        <w:t>19:</w:t>
      </w:r>
      <w:r w:rsidRPr="00CC12C6">
        <w:rPr>
          <w:rFonts w:eastAsia="Times New Roman"/>
          <w:b w:val="0"/>
          <w:color w:val="000000"/>
          <w:sz w:val="24"/>
          <w:szCs w:val="24"/>
        </w:rPr>
        <w:t> 1031–1043. </w:t>
      </w:r>
    </w:p>
    <w:p w:rsidR="00300F19" w:rsidRPr="00CC12C6" w:rsidRDefault="00CC12C6" w:rsidP="00CC12C6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CC12C6">
        <w:rPr>
          <w:rFonts w:eastAsia="Times New Roman"/>
          <w:b w:val="0"/>
          <w:color w:val="000000"/>
          <w:sz w:val="24"/>
          <w:szCs w:val="24"/>
        </w:rPr>
        <w:t xml:space="preserve">Li PP, Itoh N, Watanabe M, Shi Y, Liu P, Yang HJ,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Kasamatsu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H. 2009. Association of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>  simian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 xml:space="preserve"> virus 40 vp1 with 70-kilodalton heat shock proteins and viral tumor antigens. </w:t>
      </w:r>
      <w:proofErr w:type="gramStart"/>
      <w:r w:rsidRPr="00CC12C6">
        <w:rPr>
          <w:rFonts w:eastAsia="Times New Roman"/>
          <w:b w:val="0"/>
          <w:color w:val="000000"/>
          <w:sz w:val="24"/>
          <w:szCs w:val="24"/>
        </w:rPr>
        <w:t xml:space="preserve">J </w:t>
      </w:r>
      <w:proofErr w:type="spellStart"/>
      <w:r w:rsidRPr="00CC12C6">
        <w:rPr>
          <w:rFonts w:eastAsia="Times New Roman"/>
          <w:b w:val="0"/>
          <w:color w:val="000000"/>
          <w:sz w:val="24"/>
          <w:szCs w:val="24"/>
        </w:rPr>
        <w:t>Virol</w:t>
      </w:r>
      <w:proofErr w:type="spellEnd"/>
      <w:r w:rsidRPr="00CC12C6">
        <w:rPr>
          <w:rFonts w:eastAsia="Times New Roman"/>
          <w:b w:val="0"/>
          <w:color w:val="000000"/>
          <w:sz w:val="24"/>
          <w:szCs w:val="24"/>
        </w:rPr>
        <w:t>.</w:t>
      </w:r>
      <w:proofErr w:type="gramEnd"/>
      <w:r w:rsidRPr="00CC12C6">
        <w:rPr>
          <w:rFonts w:eastAsia="Times New Roman"/>
          <w:b w:val="0"/>
          <w:color w:val="000000"/>
          <w:sz w:val="24"/>
          <w:szCs w:val="24"/>
        </w:rPr>
        <w:t> </w:t>
      </w:r>
      <w:r w:rsidRPr="00CC12C6">
        <w:rPr>
          <w:rFonts w:eastAsia="Times New Roman"/>
          <w:bCs/>
          <w:color w:val="000000"/>
          <w:sz w:val="24"/>
          <w:szCs w:val="24"/>
        </w:rPr>
        <w:t>83:</w:t>
      </w:r>
      <w:r w:rsidRPr="00CC12C6">
        <w:rPr>
          <w:rFonts w:eastAsia="Times New Roman"/>
          <w:b w:val="0"/>
          <w:color w:val="000000"/>
          <w:sz w:val="24"/>
          <w:szCs w:val="24"/>
        </w:rPr>
        <w:t> 37-46.</w:t>
      </w:r>
    </w:p>
    <w:sectPr w:rsidR="00300F19" w:rsidRPr="00CC12C6" w:rsidSect="000B6395">
      <w:pgSz w:w="12240" w:h="2592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C7"/>
    <w:rsid w:val="000B6395"/>
    <w:rsid w:val="00146852"/>
    <w:rsid w:val="00300F19"/>
    <w:rsid w:val="00305007"/>
    <w:rsid w:val="004546C7"/>
    <w:rsid w:val="008A7578"/>
    <w:rsid w:val="008B2AC0"/>
    <w:rsid w:val="00930AEE"/>
    <w:rsid w:val="00C35E64"/>
    <w:rsid w:val="00CC12C6"/>
    <w:rsid w:val="00D32D9E"/>
    <w:rsid w:val="00D803F8"/>
    <w:rsid w:val="00F73FE1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color w:val="233379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4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 w:val="0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46C7"/>
    <w:rPr>
      <w:rFonts w:ascii="Times New Roman" w:eastAsia="Times New Roman" w:hAnsi="Times New Roman" w:cs="Times New Roman"/>
      <w:b w:val="0"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C7"/>
    <w:rPr>
      <w:b w:val="0"/>
      <w:bCs/>
    </w:rPr>
  </w:style>
  <w:style w:type="table" w:styleId="TableGrid">
    <w:name w:val="Table Grid"/>
    <w:basedOn w:val="TableNormal"/>
    <w:uiPriority w:val="59"/>
    <w:rsid w:val="0045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50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5007"/>
  </w:style>
  <w:style w:type="character" w:styleId="Emphasis">
    <w:name w:val="Emphasis"/>
    <w:basedOn w:val="DefaultParagraphFont"/>
    <w:uiPriority w:val="20"/>
    <w:qFormat/>
    <w:rsid w:val="00305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color w:val="233379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4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 w:val="0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46C7"/>
    <w:rPr>
      <w:rFonts w:ascii="Times New Roman" w:eastAsia="Times New Roman" w:hAnsi="Times New Roman" w:cs="Times New Roman"/>
      <w:b w:val="0"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5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C7"/>
    <w:rPr>
      <w:b w:val="0"/>
      <w:bCs/>
    </w:rPr>
  </w:style>
  <w:style w:type="table" w:styleId="TableGrid">
    <w:name w:val="Table Grid"/>
    <w:basedOn w:val="TableNormal"/>
    <w:uiPriority w:val="59"/>
    <w:rsid w:val="0045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50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5007"/>
  </w:style>
  <w:style w:type="character" w:styleId="Emphasis">
    <w:name w:val="Emphasis"/>
    <w:basedOn w:val="DefaultParagraphFont"/>
    <w:uiPriority w:val="20"/>
    <w:qFormat/>
    <w:rsid w:val="00305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6</cp:revision>
  <cp:lastPrinted>2014-12-12T18:12:00Z</cp:lastPrinted>
  <dcterms:created xsi:type="dcterms:W3CDTF">2014-12-11T17:37:00Z</dcterms:created>
  <dcterms:modified xsi:type="dcterms:W3CDTF">2014-12-12T18:13:00Z</dcterms:modified>
</cp:coreProperties>
</file>